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middelalder-historie-3.klasse"/>
    <w:p>
      <w:pPr>
        <w:pStyle w:val="Heading1"/>
      </w:pPr>
      <w:r>
        <w:t xml:space="preserve">Middelalder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bookmarkEnd w:id="21"/>
    <w:bookmarkStart w:id="22" w:name="middelalder"/>
    <w:p>
      <w:pPr>
        <w:pStyle w:val="Heading1"/>
      </w:pPr>
      <w:r>
        <w:t xml:space="preserve">Middelalder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Middelalder?</w:t>
      </w:r>
    </w:p>
    <w:p>
      <w:pPr>
        <w:pStyle w:val="Compact"/>
      </w:pPr>
      <w:r>
        <w:t xml:space="preserve">Oplæsning</w:t>
      </w:r>
    </w:p>
    <w:p>
      <w:pPr>
        <w:pStyle w:val="Compact"/>
      </w:pPr>
      <w:r>
        <w:t xml:space="preserve">Virelai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fællesmål"/>
    <w:p>
      <w:pPr>
        <w:pStyle w:val="Heading2"/>
      </w:pPr>
      <w:r>
        <w:t xml:space="preserve">Fællesmål</w:t>
      </w:r>
    </w:p>
    <w:bookmarkEnd w:id="24"/>
    <w:p>
      <w:pPr>
        <w:pStyle w:val="Compact"/>
        <w:numPr>
          <w:numId w:val="2"/>
          <w:ilvl w:val="0"/>
        </w:numPr>
      </w:pPr>
      <w:r>
        <w:t xml:space="preserve">Eleven kan beskrive ændringer i livsgrundlag og produktion</w:t>
      </w:r>
      <w:r>
        <w:br w:type="textWrapping"/>
      </w:r>
    </w:p>
    <w:p>
      <w:pPr>
        <w:pStyle w:val="Compact"/>
        <w:numPr>
          <w:numId w:val="2"/>
          <w:ilvl w:val="0"/>
        </w:numPr>
      </w:pPr>
      <w:r>
        <w:t xml:space="preserve">Eleven har viden om livsgrundlag og produktion før og nu</w:t>
      </w:r>
    </w:p>
    <w:p>
      <w:pPr>
        <w:pStyle w:val="Compact"/>
        <w:numPr>
          <w:numId w:val="2"/>
          <w:ilvl w:val="0"/>
        </w:numPr>
      </w:pPr>
      <w:r>
        <w:t xml:space="preserve">Eleven kan beskrive ændringer i magtforhold og samfundsstrukturer over tid</w:t>
      </w:r>
    </w:p>
    <w:p>
      <w:pPr>
        <w:pStyle w:val="Compact"/>
        <w:numPr>
          <w:numId w:val="2"/>
          <w:ilvl w:val="0"/>
        </w:numPr>
      </w:pPr>
      <w:r>
        <w:t xml:space="preserve">Eleven har viden om magtforhold og samfundsstrukturer før og nu</w:t>
      </w:r>
    </w:p>
    <w:bookmarkStart w:id="25" w:name="kanon"/>
    <w:p>
      <w:pPr>
        <w:pStyle w:val="Heading2"/>
      </w:pPr>
      <w:r>
        <w:t xml:space="preserve">Kanon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Absalon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Middelalder?</w:t>
      </w:r>
    </w:p>
    <w:bookmarkStart w:id="26" w:name="oplæsning-s.-34-og-35"/>
    <w:p>
      <w:pPr>
        <w:pStyle w:val="Heading1"/>
      </w:pPr>
      <w:r>
        <w:t xml:space="preserve">Oplæsning, s. 34 og 35</w:t>
      </w:r>
    </w:p>
    <w:bookmarkEnd w:id="26"/>
    <w:bookmarkStart w:id="27" w:name="virelai"/>
    <w:p>
      <w:pPr>
        <w:pStyle w:val="Heading1"/>
      </w:pPr>
      <w:r>
        <w:t xml:space="preserve">Virelai</w:t>
      </w:r>
    </w:p>
    <w:bookmarkEnd w:id="27"/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  <w:r>
        <w:t xml:space="preserve">. 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Lorenzetti amb.effect2</w:t>
      </w:r>
      <w:r>
        <w:t xml:space="preserve">" by Lorenzetti Ambrogio -</w:t>
      </w:r>
      <w:r>
        <w:t xml:space="preserve"> </w:t>
      </w:r>
      <w:r>
        <w:t xml:space="preserve">http://www.wga.hu/frames-e.html?/html/l/lorenzet/ambrogio/index.html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5d9feb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b9fa74d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