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riget-og-hverdagen-historie-3.klasse"/>
    <w:p>
      <w:pPr>
        <w:pStyle w:val="Heading1"/>
      </w:pPr>
      <w:r>
        <w:t xml:space="preserve">Riget og hverdagen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bookmarkEnd w:id="21"/>
    <w:bookmarkStart w:id="22" w:name="riget-og-hverdagen"/>
    <w:p>
      <w:pPr>
        <w:pStyle w:val="Heading1"/>
      </w:pPr>
      <w:r>
        <w:t xml:space="preserve">Riget og hverdagen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Riget</w:t>
      </w:r>
    </w:p>
    <w:p>
      <w:pPr>
        <w:pStyle w:val="Compact"/>
      </w:pPr>
      <w:r>
        <w:t xml:space="preserve">Hverdagen</w:t>
      </w:r>
    </w:p>
    <w:p>
      <w:pPr>
        <w:pStyle w:val="Compact"/>
      </w:pPr>
      <w:r>
        <w:t xml:space="preserve">Gladiatorerne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bookmarkStart w:id="24" w:name="hvad-skal-vi-lære-og-hvorfor"/>
    <w:p>
      <w:pPr>
        <w:pStyle w:val="Heading2"/>
      </w:pPr>
      <w:r>
        <w:t xml:space="preserve">Hvad skal vi lære og hvorfor?</w:t>
      </w:r>
    </w:p>
    <w:bookmarkEnd w:id="24"/>
    <w:p>
      <w:pPr>
        <w:pStyle w:val="Compact"/>
        <w:numPr>
          <w:numId w:val="2"/>
          <w:ilvl w:val="0"/>
        </w:numPr>
      </w:pPr>
      <w:r>
        <w:t xml:space="preserve">Eleven kan placere elementer fra historien tidsmæssigt i forhold til hinanden</w:t>
      </w:r>
    </w:p>
    <w:p>
      <w:pPr>
        <w:pStyle w:val="Compact"/>
        <w:numPr>
          <w:numId w:val="2"/>
          <w:ilvl w:val="0"/>
        </w:numPr>
      </w:pPr>
      <w:r>
        <w:t xml:space="preserve">Eleven har viden om kanonpunkter</w:t>
      </w:r>
    </w:p>
    <w:p>
      <w:pPr>
        <w:pStyle w:val="Compact"/>
        <w:numPr>
          <w:numId w:val="2"/>
          <w:ilvl w:val="0"/>
        </w:numPr>
      </w:pPr>
      <w:r>
        <w:t xml:space="preserve">Eleven har viden om relativ kronologi</w:t>
      </w:r>
    </w:p>
    <w:p>
      <w:pPr>
        <w:pStyle w:val="Compact"/>
        <w:numPr>
          <w:numId w:val="2"/>
          <w:ilvl w:val="0"/>
        </w:numPr>
      </w:pPr>
      <w:r>
        <w:t xml:space="preserve">Eleven kan beskrive ændringer i magtforhold og samfundsstrukturer over tid</w:t>
      </w:r>
    </w:p>
    <w:p>
      <w:pPr>
        <w:pStyle w:val="Compact"/>
        <w:numPr>
          <w:numId w:val="2"/>
          <w:ilvl w:val="0"/>
        </w:numPr>
      </w:pPr>
      <w:r>
        <w:t xml:space="preserve">Eleven har viden om magtforhold og samfundsstrukturer før og nu</w:t>
      </w:r>
    </w:p>
    <w:p>
      <w:pPr>
        <w:pStyle w:val="Compact"/>
        <w:numPr>
          <w:numId w:val="2"/>
          <w:ilvl w:val="0"/>
        </w:numPr>
      </w:pPr>
      <w:r>
        <w:t xml:space="preserve">Eleven kan bruge kanonpunkter til at skabe historisk overblik og sammenhængsforståelse</w:t>
      </w:r>
    </w:p>
    <w:bookmarkStart w:id="25" w:name="riget"/>
    <w:p>
      <w:pPr>
        <w:pStyle w:val="Heading1"/>
      </w:pPr>
      <w:r>
        <w:t xml:space="preserve">Riget</w:t>
      </w:r>
    </w:p>
    <w:bookmarkEnd w:id="25"/>
    <w:p/>
    <w:p>
      <w:pPr>
        <w:pStyle w:val="Compact"/>
        <w:numPr>
          <w:numId w:val="3"/>
          <w:ilvl w:val="0"/>
        </w:numPr>
      </w:pPr>
      <w:r>
        <w:t xml:space="preserve">Læs s. 12-13</w:t>
      </w:r>
    </w:p>
    <w:bookmarkStart w:id="26" w:name="livet-i-rom"/>
    <w:p>
      <w:pPr>
        <w:pStyle w:val="Heading1"/>
      </w:pPr>
      <w:r>
        <w:t xml:space="preserve">Livet i Rom</w:t>
      </w:r>
    </w:p>
    <w:bookmarkEnd w:id="26"/>
    <w:p/>
    <w:p>
      <w:pPr>
        <w:pStyle w:val="Compact"/>
        <w:numPr>
          <w:numId w:val="4"/>
          <w:ilvl w:val="0"/>
        </w:numPr>
      </w:pPr>
      <w:r>
        <w:t xml:space="preserve">Læs 14-17</w:t>
      </w:r>
    </w:p>
    <w:bookmarkStart w:id="27" w:name="gladiatorerne"/>
    <w:p>
      <w:pPr>
        <w:pStyle w:val="Heading1"/>
      </w:pPr>
      <w:r>
        <w:t xml:space="preserve">Gladiatorerne</w:t>
      </w:r>
    </w:p>
    <w:bookmarkEnd w:id="27"/>
    <w:p>
      <w:pPr>
        <w:pStyle w:val="Compact"/>
      </w:pPr>
    </w:p>
    <w:p>
      <w:pPr>
        <w:pStyle w:val="Compact"/>
        <w:numPr>
          <w:numId w:val="5"/>
          <w:ilvl w:val="0"/>
        </w:numPr>
      </w:pPr>
      <w:r>
        <w:t xml:space="preserve">Læs 18-19</w:t>
      </w:r>
    </w:p>
    <w:bookmarkStart w:id="28" w:name="pax-romana"/>
    <w:p>
      <w:pPr>
        <w:pStyle w:val="Heading1"/>
      </w:pPr>
      <w:r>
        <w:t xml:space="preserve">Pax Romana</w:t>
      </w:r>
    </w:p>
    <w:bookmarkEnd w:id="28"/>
    <w:p>
      <w:pPr>
        <w:pStyle w:val="Compact"/>
        <w:numPr>
          <w:numId w:val="6"/>
          <w:ilvl w:val="0"/>
        </w:numPr>
      </w:pPr>
      <w:r>
        <w:t xml:space="preserve">Side 30</w:t>
      </w:r>
    </w:p>
    <w:bookmarkStart w:id="29" w:name="opsamling"/>
    <w:p>
      <w:pPr>
        <w:pStyle w:val="Heading1"/>
      </w:pPr>
      <w:r>
        <w:t xml:space="preserve">Opsamling</w:t>
      </w:r>
    </w:p>
    <w:bookmarkEnd w:id="29"/>
    <w:p>
      <w:pPr>
        <w:pStyle w:val="Compact"/>
        <w:numPr>
          <w:numId w:val="7"/>
          <w:ilvl w:val="0"/>
        </w:numPr>
      </w:pPr>
      <w:r>
        <w:t xml:space="preserve">Hvordan adskilte livet i Romerriget sig fra jeres liv i dag?</w:t>
      </w:r>
    </w:p>
    <w:bookmarkStart w:id="30" w:name="copyright-12"/>
    <w:p>
      <w:pPr>
        <w:pStyle w:val="Heading1"/>
      </w:pPr>
      <w:r>
        <w:t xml:space="preserve">Copyright 1/2</w:t>
      </w:r>
    </w:p>
    <w:bookmarkEnd w:id="30"/>
    <w:p>
      <w:r>
        <w:t xml:space="preserve">Dette værk er licenseret under en</w:t>
      </w:r>
      <w:r>
        <w:t xml:space="preserve"> </w:t>
      </w:r>
      <w:hyperlink r:id="rId31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Estatualoba</w:t>
      </w:r>
      <w:r>
        <w:t xml:space="preserve">" by</w:t>
      </w:r>
      <w:r>
        <w:t xml:space="preserve"> </w:t>
      </w:r>
      <w:r>
        <w:t xml:space="preserve">Aleposta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GFDL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2" w:name="copyright-22"/>
    <w:p>
      <w:pPr>
        <w:pStyle w:val="Heading1"/>
      </w:pPr>
      <w:r>
        <w:t xml:space="preserve">Copyright 2/2</w:t>
      </w:r>
    </w:p>
    <w:bookmarkEnd w:id="32"/>
    <w:p>
      <w:pPr>
        <w:pStyle w:val="Compact"/>
      </w:pPr>
      <w:r>
        <w:t xml:space="preserve">"</w:t>
      </w:r>
      <w:r>
        <w:t xml:space="preserve">Pompei - House of Julia Felix - 2 - MAN</w:t>
      </w:r>
      <w:r>
        <w:t xml:space="preserve">" by WolfgangRieger - Marisa Ranieri Panetta (ed.): Pompeji. Geschichte, Kunst und Leben in der versunkenen Stadt. Belser, Stuttgart 2005,</w:t>
      </w:r>
      <w:r>
        <w:t xml:space="preserve"> </w:t>
      </w:r>
      <w:r>
        <w:t xml:space="preserve">ISBN 3-7630-2266-X</w:t>
      </w:r>
      <w:r>
        <w:t xml:space="preserve">, p. 146.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Astyanax vs Kalendio mosaic</w:t>
      </w:r>
      <w:r>
        <w:t xml:space="preserve">" by Image taken from</w:t>
      </w:r>
      <w:r>
        <w:t xml:space="preserve"> </w:t>
      </w:r>
      <w:r>
        <w:t xml:space="preserve">this website</w:t>
      </w:r>
      <w:r>
        <w:t xml:space="preserve">..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aff0e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595c85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