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grundlov-og-kildearbejde-historie-8.klasse"/>
    <w:p>
      <w:pPr>
        <w:pStyle w:val="Heading1"/>
      </w:pPr>
      <w:r>
        <w:t xml:space="preserve">1863 Grundlov og kildearbejde</w:t>
      </w:r>
      <w:r>
        <w:t xml:space="preserve"> </w:t>
      </w:r>
      <w:r>
        <w:t xml:space="preserve"> </w:t>
      </w:r>
      <w:r>
        <w:rPr>
          <w:i/>
        </w:rPr>
        <w:t xml:space="preserve">Historie, 8.klasse</w:t>
      </w:r>
    </w:p>
    <w:bookmarkEnd w:id="21"/>
    <w:bookmarkStart w:id="22" w:name="grundlov-og-kildearbejde"/>
    <w:p>
      <w:pPr>
        <w:pStyle w:val="Heading1"/>
      </w:pPr>
      <w:r>
        <w:t xml:space="preserve">1863 Grundlov og kildearbejde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1863</w:t>
      </w:r>
    </w:p>
    <w:p>
      <w:pPr>
        <w:pStyle w:val="Compact"/>
      </w:pPr>
      <w:r>
        <w:t xml:space="preserve">Grundlov</w:t>
      </w:r>
    </w:p>
    <w:p>
      <w:pPr>
        <w:pStyle w:val="Compact"/>
      </w:pPr>
      <w:r>
        <w:t xml:space="preserve">Optakt til krig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bookmarkStart w:id="24" w:name="fra-fællesmål"/>
    <w:p>
      <w:pPr>
        <w:pStyle w:val="Heading3"/>
      </w:pPr>
      <w:r>
        <w:t xml:space="preserve">Fra fællesmål</w:t>
      </w:r>
    </w:p>
    <w:bookmarkEnd w:id="24"/>
    <w:p>
      <w:pPr>
        <w:pStyle w:val="Compact"/>
      </w:pPr>
      <w:r>
        <w:t xml:space="preserve">Eleven kan forklare historiske forandringers påvirkning af samfund lokalt, regionalt og globalt</w:t>
      </w:r>
    </w:p>
    <w:p>
      <w:pPr>
        <w:pStyle w:val="Compact"/>
      </w:pPr>
      <w:r>
        <w:t xml:space="preserve">Eleven har viden om kanonpunkter</w:t>
      </w:r>
    </w:p>
    <w:p>
      <w:pPr>
        <w:pStyle w:val="Compact"/>
      </w:pPr>
      <w:r>
        <w:t xml:space="preserve">Eleven kan forklare valget af kildekritiske begreber til analyse af historiske spor, medier og udtryksformer</w:t>
      </w:r>
    </w:p>
    <w:p>
      <w:pPr>
        <w:pStyle w:val="Compact"/>
      </w:pPr>
      <w:r>
        <w:t xml:space="preserve">Eleven har viden om kildekritiske begreber</w:t>
      </w:r>
    </w:p>
    <w:p>
      <w:pPr>
        <w:pStyle w:val="Compact"/>
      </w:pPr>
      <w:r>
        <w:t xml:space="preserve">Eleven har viden om sammenhænge mellem fortidsfortolkninger, nutidsforståelser og fremtidsforventninger</w:t>
      </w:r>
    </w:p>
    <w:p>
      <w:pPr>
        <w:pStyle w:val="Compact"/>
      </w:pPr>
      <w:r>
        <w:t xml:space="preserve">Eleven har viden om funktion af historie i fortid og nutid</w:t>
      </w:r>
    </w:p>
    <w:bookmarkStart w:id="25" w:name="kanon"/>
    <w:p>
      <w:pPr>
        <w:pStyle w:val="Heading3"/>
      </w:pPr>
      <w:r>
        <w:t xml:space="preserve">Kanon</w:t>
      </w:r>
    </w:p>
    <w:bookmarkEnd w:id="25"/>
    <w:p>
      <w:pPr>
        <w:pStyle w:val="Compact"/>
        <w:numPr>
          <w:numId w:val="2"/>
          <w:ilvl w:val="0"/>
        </w:numPr>
      </w:pPr>
      <w:r>
        <w:t xml:space="preserve">Grundloven 1849</w:t>
      </w:r>
    </w:p>
    <w:p>
      <w:pPr>
        <w:pStyle w:val="Compact"/>
        <w:numPr>
          <w:numId w:val="2"/>
          <w:ilvl w:val="0"/>
        </w:numPr>
      </w:pPr>
      <w:r>
        <w:t xml:space="preserve">Stormen på Dybbøl 1864</w:t>
      </w:r>
    </w:p>
    <w:bookmarkStart w:id="26" w:name="november-grundloven"/>
    <w:p>
      <w:pPr>
        <w:pStyle w:val="Heading1"/>
      </w:pPr>
      <w:r>
        <w:t xml:space="preserve">November-grundloven</w:t>
      </w:r>
    </w:p>
    <w:bookmarkEnd w:id="26"/>
    <w:p>
      <w:r>
        <w:t xml:space="preserve">Læs følgende tre artikler:</w:t>
      </w:r>
    </w:p>
    <w:p>
      <w:pPr>
        <w:pStyle w:val="Compact"/>
        <w:numPr>
          <w:numId w:val="3"/>
          <w:ilvl w:val="0"/>
        </w:numPr>
      </w:pPr>
      <w:hyperlink r:id="rId27">
        <w:r>
          <w:rPr>
            <w:rStyle w:val="Link"/>
          </w:rPr>
          <w:t xml:space="preserve">November forfatningen</w:t>
        </w:r>
      </w:hyperlink>
    </w:p>
    <w:p>
      <w:pPr>
        <w:pStyle w:val="Compact"/>
        <w:numPr>
          <w:numId w:val="3"/>
          <w:ilvl w:val="0"/>
        </w:numPr>
      </w:pPr>
      <w:hyperlink r:id="rId28">
        <w:r>
          <w:rPr>
            <w:rStyle w:val="Link"/>
          </w:rPr>
          <w:t xml:space="preserve">Optakt til krig</w:t>
        </w:r>
      </w:hyperlink>
    </w:p>
    <w:p>
      <w:pPr>
        <w:pStyle w:val="Compact"/>
        <w:numPr>
          <w:numId w:val="3"/>
          <w:ilvl w:val="0"/>
        </w:numPr>
      </w:pPr>
      <w:hyperlink r:id="rId29">
        <w:r>
          <w:rPr>
            <w:rStyle w:val="Link"/>
          </w:rPr>
          <w:t xml:space="preserve">Ny forfatning vedtaget!</w:t>
        </w:r>
      </w:hyperlink>
    </w:p>
    <w:p>
      <w:r>
        <w:t xml:space="preserve">Besvar skriftligt følgende spørgsmål:</w:t>
      </w:r>
    </w:p>
    <w:p>
      <w:pPr>
        <w:pStyle w:val="Compact"/>
        <w:numPr>
          <w:numId w:val="4"/>
          <w:ilvl w:val="0"/>
        </w:numPr>
      </w:pPr>
      <w:r>
        <w:t xml:space="preserve">Hvilke grunde var der til at Danmark brød med fredsaftalen der afsluttede krigen 1848-50?</w:t>
      </w:r>
    </w:p>
    <w:p>
      <w:pPr>
        <w:pStyle w:val="Compact"/>
        <w:numPr>
          <w:numId w:val="4"/>
          <w:ilvl w:val="0"/>
        </w:numPr>
      </w:pPr>
      <w:r>
        <w:t xml:space="preserve">Hvordan og med hvilke aftaler brød danskerne med november grundloven af 1863?</w:t>
      </w:r>
    </w:p>
    <w:p>
      <w:pPr>
        <w:pStyle w:val="Compact"/>
        <w:numPr>
          <w:numId w:val="4"/>
          <w:ilvl w:val="0"/>
        </w:numPr>
      </w:pPr>
      <w:r>
        <w:t xml:space="preserve">Hvilke fejltrin peger artiklerne på at den danske regering foretog sig?</w:t>
      </w:r>
    </w:p>
    <w:p>
      <w:pPr>
        <w:pStyle w:val="Compact"/>
        <w:numPr>
          <w:numId w:val="4"/>
          <w:ilvl w:val="0"/>
        </w:numPr>
      </w:pPr>
      <w:r>
        <w:t xml:space="preserve">Opdater din Tiki-toki tidslinje</w:t>
      </w:r>
    </w:p>
    <w:bookmarkStart w:id="30" w:name="lektier"/>
    <w:p>
      <w:pPr>
        <w:pStyle w:val="Heading1"/>
      </w:pPr>
      <w:r>
        <w:t xml:space="preserve">Lektier</w:t>
      </w:r>
    </w:p>
    <w:bookmarkEnd w:id="30"/>
    <w:p>
      <w:pPr>
        <w:pStyle w:val="Compact"/>
      </w:pPr>
      <w:r>
        <w:t xml:space="preserve">Ingen</w:t>
      </w:r>
    </w:p>
    <w:p>
      <w:pPr>
        <w:pStyle w:val="Compact"/>
      </w:pPr>
    </w:p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pPr>
        <w:pStyle w:val="Compact"/>
      </w:pPr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01e593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c79d250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35b733c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1864.dk/?tidende_udgave=18631113" TargetMode="External" /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7" Target="http://danmarkshistorien.dk/perioder/det-unge-demokrati-1848-1901/novemberforfatningen-1863/" TargetMode="External" /><Relationship Type="http://schemas.openxmlformats.org/officeDocument/2006/relationships/hyperlink" Id="rId28" Target="http://danmarkshistorien.dk/perioder/det-unge-demokrati-1848-1901/optakt-til-krig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1864.dk/?tidende_udgave=18631113" TargetMode="External" /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7" Target="http://danmarkshistorien.dk/perioder/det-unge-demokrati-1848-1901/novemberforfatningen-1863/" TargetMode="External" /><Relationship Type="http://schemas.openxmlformats.org/officeDocument/2006/relationships/hyperlink" Id="rId28" Target="http://danmarkshistorien.dk/perioder/det-unge-demokrati-1848-1901/optakt-til-kri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